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6F4D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5B2B910" w14:textId="736577BD" w:rsidR="00C12CD9" w:rsidRPr="001B1342" w:rsidRDefault="00A375BC" w:rsidP="006032AF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6032AF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6032AF" w:rsidRPr="006032AF">
        <w:rPr>
          <w:rFonts w:ascii="Marianne" w:eastAsia="Calibri" w:hAnsi="Marianne" w:cs="Times New Roman"/>
          <w:b/>
          <w:sz w:val="20"/>
          <w:szCs w:val="20"/>
        </w:rPr>
        <w:t>TECSANTE256</w:t>
      </w:r>
      <w:r w:rsidR="000367CA" w:rsidRPr="006032AF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6032AF" w:rsidRPr="006032AF">
        <w:rPr>
          <w:rFonts w:ascii="Marianne" w:eastAsia="Calibri" w:hAnsi="Marianne" w:cs="Times New Roman"/>
          <w:b/>
          <w:sz w:val="20"/>
          <w:szCs w:val="20"/>
        </w:rPr>
        <w:t>d’équipements de préparation d’échantillons pour microscopie électronique pour l’IEMN de l’Université de Lille dans le cadre du FEDER TECSANTE</w:t>
      </w:r>
    </w:p>
    <w:p w14:paraId="5472575B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418E0EE8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01DEB3C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7A27B9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0F6BCAC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54E7E3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1F4C1876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553279B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22233CC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54BC7" w:rsidRPr="001B1342" w14:paraId="61283AE9" w14:textId="77777777" w:rsidTr="00054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CDE6A9E" w14:textId="77777777" w:rsidR="00054BC7" w:rsidRPr="001B1342" w:rsidRDefault="00054BC7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BACF336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4FB20DA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T.T.C</w:t>
            </w:r>
          </w:p>
        </w:tc>
      </w:tr>
      <w:tr w:rsidR="00054BC7" w:rsidRPr="001B1342" w14:paraId="296321FF" w14:textId="77777777" w:rsidTr="00054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19695BD1" w14:textId="77777777" w:rsidR="008E57A1" w:rsidRDefault="000B1053" w:rsidP="000B105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5F68F640" w14:textId="3FF4478A" w:rsidR="00054BC7" w:rsidRPr="000B1053" w:rsidRDefault="00054BC7" w:rsidP="000B105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  <w:highlight w:val="yellow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58BBEDE2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CA1E1E0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5C946622" w14:textId="77777777" w:rsidR="00934533" w:rsidRPr="00D514D8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D514D8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D514D8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D514D8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D514D8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D514D8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441EFBD8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73B070F8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52EAE2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180758E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CE942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B9C5FAF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490FA45A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642" w:type="dxa"/>
        <w:jc w:val="center"/>
        <w:tblLook w:val="04A0" w:firstRow="1" w:lastRow="0" w:firstColumn="1" w:lastColumn="0" w:noHBand="0" w:noVBand="1"/>
      </w:tblPr>
      <w:tblGrid>
        <w:gridCol w:w="3498"/>
        <w:gridCol w:w="1878"/>
        <w:gridCol w:w="3266"/>
      </w:tblGrid>
      <w:tr w:rsidR="00DD544E" w:rsidRPr="001B1342" w14:paraId="24810665" w14:textId="77777777" w:rsidTr="008E5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7820DA1F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CD7C4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47CE4176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4EB21BBD" w14:textId="77777777" w:rsidR="00DD544E" w:rsidRPr="006C62A2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3266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1DF13A1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0600C588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6C62A2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6C62A2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66A6B52A" w14:textId="77777777" w:rsidR="00DD544E" w:rsidRPr="006C62A2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C62A2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6C62A2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6C62A2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73D6DAB1" w14:textId="77777777" w:rsidTr="008E5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9C109A8" w14:textId="77777777" w:rsidR="008E57A1" w:rsidRDefault="006C62A2" w:rsidP="00C12CD9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7B1CF260" w14:textId="70320399" w:rsidR="00054BC7" w:rsidRPr="001B1342" w:rsidRDefault="006C62A2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08B497C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326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1A8ED03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FB53698" w14:textId="77777777" w:rsidR="00934533" w:rsidRPr="006C62A2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6C62A2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63A7495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B975019" w14:textId="77777777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C62A2">
        <w:rPr>
          <w:rFonts w:ascii="Marianne" w:hAnsi="Marianne" w:cs="Arial"/>
          <w:sz w:val="20"/>
          <w:szCs w:val="20"/>
        </w:rPr>
        <w:t>L’installation</w:t>
      </w:r>
      <w:r w:rsidR="00E068F3" w:rsidRPr="006C62A2">
        <w:rPr>
          <w:rFonts w:ascii="Marianne" w:hAnsi="Marianne" w:cs="Arial"/>
          <w:sz w:val="20"/>
          <w:szCs w:val="20"/>
        </w:rPr>
        <w:t xml:space="preserve"> </w:t>
      </w:r>
      <w:r w:rsidR="0091429F" w:rsidRPr="006C62A2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6C62A2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6C62A2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6C62A2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6C62A2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6C62A2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6C62A2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66E88BFF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24FA955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1FC060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E23F9F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53885F0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4773DE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5B4B874B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3D8E882E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00B2E92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6806530E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55AD2CE1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6F9FAA0C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4FEFD8E9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46BAB8B5" w14:textId="77777777" w:rsidR="008E57A1" w:rsidRDefault="00E20C95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</w:p>
          <w:p w14:paraId="312F6C49" w14:textId="3DC19695" w:rsidR="00054BC7" w:rsidRPr="001B1342" w:rsidRDefault="00E20C95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0359F4AE" w14:textId="39D3E5BA" w:rsidR="00640EFF" w:rsidRPr="001B1342" w:rsidRDefault="00E20C95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0C679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129BF8BA" w14:textId="77777777" w:rsidR="00640EFF" w:rsidRPr="00E20C95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E20C9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04A1BA43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B7342C7" w14:textId="40D163F6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479D8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9479D8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479D8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479D8" w:rsidRPr="009479D8">
        <w:rPr>
          <w:rFonts w:ascii="Marianne" w:hAnsi="Marianne" w:cs="Arial"/>
          <w:b/>
          <w:sz w:val="20"/>
          <w:szCs w:val="20"/>
          <w:u w:val="single"/>
        </w:rPr>
        <w:t>10</w:t>
      </w:r>
      <w:r w:rsidRPr="009479D8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9479D8">
        <w:rPr>
          <w:rFonts w:ascii="Marianne" w:hAnsi="Marianne" w:cs="Arial"/>
          <w:sz w:val="20"/>
          <w:szCs w:val="20"/>
        </w:rPr>
        <w:t xml:space="preserve"> à compter de la mise en ordre de </w:t>
      </w:r>
      <w:r w:rsidRPr="006E3F75">
        <w:rPr>
          <w:rFonts w:ascii="Marianne" w:hAnsi="Marianne" w:cs="Arial"/>
          <w:sz w:val="20"/>
          <w:szCs w:val="20"/>
        </w:rPr>
        <w:t>marche du matériel (Article 7 du CCP).</w:t>
      </w:r>
    </w:p>
    <w:p w14:paraId="1FD5AD1A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35E8BFF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D2D8F67" w14:textId="0A81DBA6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9D08F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054BC7" w:rsidRPr="001B1342" w14:paraId="166A08C8" w14:textId="77777777" w:rsidTr="00671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7E32D20" w14:textId="77777777" w:rsidR="00054BC7" w:rsidRPr="001B1342" w:rsidRDefault="00054BC7" w:rsidP="00671E41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146DBC7" w14:textId="77777777" w:rsidR="00054BC7" w:rsidRPr="001B1342" w:rsidRDefault="00054BC7" w:rsidP="00671E41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6943DD" w:rsidRPr="001B1342" w14:paraId="34087B02" w14:textId="77777777" w:rsidTr="00671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6FE1E2C1" w14:textId="77777777" w:rsidR="006831FC" w:rsidRPr="00447E7E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2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47C4F8FA" w14:textId="77777777" w:rsidR="006831FC" w:rsidRPr="00447E7E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6A907A31" w14:textId="77777777" w:rsidR="006831FC" w:rsidRPr="00447E7E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447E7E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43AC8ECE" w14:textId="0FFCDDE8" w:rsidR="006831FC" w:rsidRPr="00ED3FBB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4DEF48FB" w14:textId="72D9CB8B" w:rsidR="006831FC" w:rsidRPr="00ED3FBB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6FCF9E58" w14:textId="77777777" w:rsidR="006831FC" w:rsidRPr="00447E7E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7CDFAFEE" w14:textId="0AFA9C05" w:rsidR="006943DD" w:rsidRPr="001B1342" w:rsidRDefault="006831FC" w:rsidP="006831FC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75ADAB66" w14:textId="77777777" w:rsidR="006943DD" w:rsidRPr="001B1342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22956A48" w14:textId="77777777" w:rsidR="006943DD" w:rsidRPr="00F94705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591B1A4E" w14:textId="77777777" w:rsidR="006943DD" w:rsidRPr="00F94705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7FCD0D7B" w14:textId="77777777" w:rsidR="006943DD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88B1E24" w14:textId="77777777" w:rsidR="006943DD" w:rsidRPr="00F94705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C105207" w14:textId="77777777" w:rsidR="006943DD" w:rsidRPr="00F94705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9278F43" w14:textId="77777777" w:rsidR="006943DD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DAFEA70" w14:textId="77777777" w:rsidR="006943DD" w:rsidRPr="00F94705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50C19025" w14:textId="77777777" w:rsidR="006943DD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29BF4BC" w14:textId="77777777" w:rsidR="006943DD" w:rsidRPr="001B1342" w:rsidRDefault="006943DD" w:rsidP="006943D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6943DD" w:rsidRPr="001B1342" w14:paraId="782EF91F" w14:textId="77777777" w:rsidTr="00671E41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1546EF90" w14:textId="40EEB3FF" w:rsidR="006831FC" w:rsidRPr="001144AC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PSE 2 - </w:t>
            </w:r>
            <w:r w:rsidRPr="001144A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Maintenance à l’issue de la garantie légale ou à l’issue de l’extension de garantie </w:t>
            </w:r>
            <w:r w:rsidR="00047C8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(</w:t>
            </w:r>
            <w:r w:rsidRPr="001144A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si elle est retenue</w:t>
            </w:r>
            <w:r w:rsidR="00047C8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)</w:t>
            </w:r>
          </w:p>
          <w:p w14:paraId="5D61147E" w14:textId="77777777" w:rsidR="006831FC" w:rsidRPr="001144AC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sz w:val="20"/>
                <w:szCs w:val="20"/>
              </w:rPr>
              <w:t>Contrat de maintenance PREVENTIVE uniquement</w:t>
            </w:r>
          </w:p>
          <w:p w14:paraId="705C13EA" w14:textId="77777777" w:rsidR="006831FC" w:rsidRPr="00793B6D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1774F8AA" w14:textId="77777777" w:rsidR="006831FC" w:rsidRPr="00793B6D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D744096" w14:textId="28629187" w:rsidR="006831FC" w:rsidRPr="00793B6D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8536B7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contrat 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d’une seule année</w:t>
            </w:r>
          </w:p>
          <w:p w14:paraId="6FDEA87C" w14:textId="6875AF99" w:rsidR="006831FC" w:rsidRPr="00793B6D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4BF28FC3" w14:textId="77777777" w:rsidR="006831FC" w:rsidRPr="00447E7E" w:rsidRDefault="006831FC" w:rsidP="006831F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4463C3BC" w14:textId="33820947" w:rsidR="006943DD" w:rsidRPr="001B1342" w:rsidRDefault="006831FC" w:rsidP="006831FC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B1A577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  <w:p w14:paraId="2C2597FB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3944322E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0845D8D2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A9B960D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DD85F8B" w14:textId="77777777" w:rsidR="006943DD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0D623D9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222A1932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44155314" w14:textId="77777777" w:rsidR="006943DD" w:rsidRPr="0056577C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0120FDC9" w14:textId="77777777" w:rsidR="006943DD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83C9BB9" w14:textId="77777777" w:rsidR="006943DD" w:rsidRPr="001B1342" w:rsidRDefault="006943DD" w:rsidP="006943D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3D181033" w14:textId="77777777" w:rsidR="00054BC7" w:rsidRDefault="00054BC7">
      <w:r>
        <w:rPr>
          <w:b/>
          <w:bCs/>
        </w:rPr>
        <w:br w:type="page"/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054BC7" w:rsidRPr="000A068E" w14:paraId="02A9652D" w14:textId="77777777" w:rsidTr="00054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80C3000" w14:textId="556C402B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6831F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lastRenderedPageBreak/>
              <w:t xml:space="preserve">PSE 3 - </w:t>
            </w:r>
            <w:r w:rsidRPr="006831FC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 xml:space="preserve">Maintenance à l’issue de la garantie légale ou à l’issue de l’extension de garantie </w:t>
            </w:r>
            <w:r w:rsidR="00047C8D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(</w:t>
            </w:r>
            <w:r w:rsidRPr="006831FC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si elle est retenue</w:t>
            </w:r>
            <w:r w:rsidR="00047C8D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)</w:t>
            </w:r>
          </w:p>
          <w:p w14:paraId="669A5EF7" w14:textId="77777777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6831FC">
              <w:rPr>
                <w:rFonts w:ascii="Marianne" w:hAnsi="Marianne" w:cs="Arial"/>
                <w:color w:val="auto"/>
                <w:sz w:val="20"/>
                <w:szCs w:val="20"/>
              </w:rPr>
              <w:t>Contrat de maintenance PREVENTIVE et CURATIVE</w:t>
            </w:r>
          </w:p>
          <w:p w14:paraId="4B3A2A4F" w14:textId="77777777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20"/>
                <w:szCs w:val="20"/>
                <w:highlight w:val="yellow"/>
              </w:rPr>
            </w:pPr>
          </w:p>
          <w:p w14:paraId="1175E6DA" w14:textId="77777777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color w:val="auto"/>
                <w:sz w:val="16"/>
                <w:szCs w:val="16"/>
              </w:rPr>
              <w:t>On entend par :</w:t>
            </w:r>
          </w:p>
          <w:p w14:paraId="7325FDFA" w14:textId="34E6A610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color w:val="auto"/>
                <w:sz w:val="16"/>
                <w:szCs w:val="16"/>
              </w:rPr>
              <w:t>1 année : un contrat de maintenance préventive ET curative d’une seule année</w:t>
            </w:r>
          </w:p>
          <w:p w14:paraId="138D5649" w14:textId="0F7D71A2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color w:val="auto"/>
                <w:sz w:val="16"/>
                <w:szCs w:val="16"/>
              </w:rPr>
              <w:t>2 années : un contrat de maintenance préventive ET curative comprenant 2 années groupées</w:t>
            </w:r>
          </w:p>
          <w:p w14:paraId="3033E8BD" w14:textId="77777777" w:rsidR="006831FC" w:rsidRPr="006831FC" w:rsidRDefault="006831FC" w:rsidP="006831FC">
            <w:pPr>
              <w:pStyle w:val="Sansinterlign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</w:p>
          <w:p w14:paraId="5F324AC5" w14:textId="17996308" w:rsidR="00054BC7" w:rsidRPr="00DA4138" w:rsidRDefault="006831FC" w:rsidP="006831FC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 ET curative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76B4408" w14:textId="77777777" w:rsidR="00054BC7" w:rsidRPr="00130A49" w:rsidRDefault="00054BC7" w:rsidP="00671E41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  <w:highlight w:val="yellow"/>
              </w:rPr>
            </w:pPr>
          </w:p>
          <w:p w14:paraId="287755C8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 xml:space="preserve"> Compris dans la prestation*</w:t>
            </w:r>
          </w:p>
          <w:p w14:paraId="05228F16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18"/>
                <w:szCs w:val="18"/>
              </w:rPr>
            </w:pPr>
          </w:p>
          <w:p w14:paraId="19D7DFAA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 xml:space="preserve"> 1 année </w:t>
            </w:r>
            <w:r w:rsidRPr="00130A49">
              <w:rPr>
                <w:rFonts w:ascii="Marianne" w:hAnsi="Marianne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  <w:t>(année 1 uniquement)</w:t>
            </w:r>
          </w:p>
          <w:p w14:paraId="09AC37BB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…………………€ HT</w:t>
            </w:r>
          </w:p>
          <w:p w14:paraId="2EE2B28A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(………………………...€ TTC)</w:t>
            </w:r>
          </w:p>
          <w:p w14:paraId="49E8150D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</w:p>
          <w:p w14:paraId="677C610C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18"/>
                <w:szCs w:val="18"/>
              </w:rPr>
              <w:instrText xml:space="preserve"> FORMCHECKBOX </w:instrText>
            </w:r>
            <w:r w:rsidR="0091334E">
              <w:rPr>
                <w:rFonts w:ascii="Marianne" w:hAnsi="Marianne" w:cs="Arial"/>
                <w:sz w:val="18"/>
                <w:szCs w:val="18"/>
              </w:rPr>
            </w:r>
            <w:r w:rsidR="0091334E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30A49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 xml:space="preserve"> 2 années </w:t>
            </w:r>
            <w:r w:rsidRPr="00130A49">
              <w:rPr>
                <w:rFonts w:ascii="Marianne" w:hAnsi="Marianne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  <w:t>(année n°1 + année n°2)</w:t>
            </w:r>
          </w:p>
          <w:p w14:paraId="29A3F495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………………€ HT</w:t>
            </w:r>
          </w:p>
          <w:p w14:paraId="11EACF33" w14:textId="77777777" w:rsidR="00130A49" w:rsidRPr="00130A49" w:rsidRDefault="00130A49" w:rsidP="00130A49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</w:pPr>
            <w:r w:rsidRPr="00130A49">
              <w:rPr>
                <w:rFonts w:ascii="Marianne" w:hAnsi="Marianne" w:cs="Arial"/>
                <w:b w:val="0"/>
                <w:bCs w:val="0"/>
                <w:color w:val="auto"/>
                <w:sz w:val="20"/>
                <w:szCs w:val="20"/>
              </w:rPr>
              <w:t>(………………………...€ TTC)</w:t>
            </w:r>
          </w:p>
          <w:p w14:paraId="5E767D15" w14:textId="77777777" w:rsidR="00054BC7" w:rsidRPr="000A068E" w:rsidRDefault="00054BC7" w:rsidP="00671E41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color w:val="auto"/>
                <w:sz w:val="20"/>
                <w:szCs w:val="20"/>
                <w:highlight w:val="yellow"/>
              </w:rPr>
            </w:pPr>
          </w:p>
        </w:tc>
      </w:tr>
    </w:tbl>
    <w:p w14:paraId="379B1AF5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465F7E8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66E45406" w14:textId="6C724E4D" w:rsidR="00267306" w:rsidRPr="001B1342" w:rsidRDefault="00267306" w:rsidP="00047C8D">
      <w:pPr>
        <w:jc w:val="both"/>
        <w:rPr>
          <w:rFonts w:ascii="Marianne" w:hAnsi="Marianne" w:cs="Arial"/>
          <w:i/>
          <w:sz w:val="20"/>
          <w:szCs w:val="20"/>
        </w:rPr>
      </w:pPr>
      <w:r w:rsidRPr="00C36B38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C36B38">
        <w:rPr>
          <w:rFonts w:ascii="Marianne" w:hAnsi="Marianne" w:cs="Arial"/>
          <w:i/>
          <w:sz w:val="20"/>
          <w:szCs w:val="20"/>
        </w:rPr>
        <w:t>l’article 9</w:t>
      </w:r>
      <w:r w:rsidR="00C36B38" w:rsidRPr="00C36B38">
        <w:rPr>
          <w:rFonts w:ascii="Marianne" w:hAnsi="Marianne" w:cs="Arial"/>
          <w:i/>
          <w:sz w:val="20"/>
          <w:szCs w:val="20"/>
        </w:rPr>
        <w:t>.1</w:t>
      </w:r>
      <w:r w:rsidRPr="00C36B38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607854BA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035748A7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68AE36B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594354EA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58821F2D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71D7512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781F12B" w14:textId="77777777" w:rsidR="006C4272" w:rsidRPr="00FF2992" w:rsidRDefault="006C4272" w:rsidP="006C42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FF2992">
              <w:rPr>
                <w:rFonts w:ascii="Marianne" w:hAnsi="Marianne" w:cs="Arial"/>
              </w:rPr>
              <w:t>Durée de la garantie légale</w:t>
            </w:r>
          </w:p>
          <w:p w14:paraId="1020E1C6" w14:textId="3F0DB877" w:rsidR="00B6119C" w:rsidRPr="00647364" w:rsidRDefault="006C4272" w:rsidP="006C42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323A7842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0CBAF07D" w14:textId="70151BE6" w:rsidR="00054BC7" w:rsidRPr="001B1342" w:rsidRDefault="006C4272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B1053">
              <w:rPr>
                <w:rFonts w:ascii="Marianne" w:hAnsi="Marianne" w:cs="Arial"/>
                <w:sz w:val="20"/>
                <w:szCs w:val="20"/>
              </w:rPr>
              <w:t>Equipements de préparation d’échantillons pour microscopie électronique</w:t>
            </w:r>
            <w:r>
              <w:rPr>
                <w:rFonts w:ascii="Marianne" w:hAnsi="Marianne" w:cs="Arial"/>
                <w:sz w:val="20"/>
                <w:szCs w:val="20"/>
              </w:rPr>
              <w:br/>
            </w: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AA8A121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08244CD4" w14:textId="77777777" w:rsidR="0074222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3A4141D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8A49817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D6B986C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03C360FF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96CD07A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86E136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77ACF6C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D745746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344E7C8" w14:textId="5A7D01B5" w:rsidR="00047C8D" w:rsidRDefault="00047C8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08B75CE4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50EF02A2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7C44F43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C5ABDDF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032FBA3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7EEC7E25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1B03ACA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BAFED49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72EDDF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C061B67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15633F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314FDE0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75C3E1C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38C799CE" w14:textId="77777777" w:rsidR="00DD05F9" w:rsidRPr="00196B6E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8BD926" w14:textId="77777777" w:rsidR="006A11A0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B388108" w14:textId="77777777" w:rsidR="00047C8D" w:rsidRPr="001B1342" w:rsidRDefault="00047C8D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E3F3951" w14:textId="77777777" w:rsidR="006C4272" w:rsidRPr="00FF2992" w:rsidRDefault="006C4272" w:rsidP="006C427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de +1 +2années (si elle est retenue)</w:t>
      </w:r>
    </w:p>
    <w:p w14:paraId="3CCBEB0A" w14:textId="4FEC3168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36B38">
        <w:rPr>
          <w:rFonts w:ascii="Marianne" w:hAnsi="Marianne" w:cs="Arial"/>
          <w:sz w:val="20"/>
          <w:szCs w:val="20"/>
        </w:rPr>
        <w:t>Conformément à l’article 9</w:t>
      </w:r>
      <w:r w:rsidR="00C36B38" w:rsidRPr="00C36B38">
        <w:rPr>
          <w:rFonts w:ascii="Marianne" w:hAnsi="Marianne" w:cs="Arial"/>
          <w:sz w:val="20"/>
          <w:szCs w:val="20"/>
        </w:rPr>
        <w:t>.2</w:t>
      </w:r>
      <w:r w:rsidRPr="00C36B38">
        <w:rPr>
          <w:rFonts w:ascii="Marianne" w:hAnsi="Marianne" w:cs="Arial"/>
          <w:sz w:val="20"/>
          <w:szCs w:val="20"/>
        </w:rPr>
        <w:t xml:space="preserve"> du CCP 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7604BBFE" w14:textId="77777777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ACE5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39EF29D1" w14:textId="0F704DDC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2723F75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9D58CB8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08431D5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A787AB0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07A8A0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5FDCDCA3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709433D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796555D2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3F9A5140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E2BD6C0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2DA36B4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8715EA5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048D62E" w14:textId="1EB355AC" w:rsidR="00D2479F" w:rsidRDefault="00D2479F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0EA79F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E3F5DF4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318855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04460F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00A748" w14:textId="77777777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071E5C7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2CEC71B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1B92A4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4CAE6D3F" w14:textId="6B4FDA18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E1BCEAF" w14:textId="77777777" w:rsidR="003F0B0B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7466D4C1" w14:textId="77777777" w:rsidR="00D2479F" w:rsidRPr="001B1342" w:rsidRDefault="00D2479F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A1A8D0F" w14:textId="77777777" w:rsidR="006C4272" w:rsidRDefault="006C4272" w:rsidP="006C4272">
      <w:pPr>
        <w:pStyle w:val="Sansinterlign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C4272">
        <w:rPr>
          <w:rFonts w:ascii="Marianne" w:hAnsi="Marianne" w:cs="Arial"/>
          <w:b/>
          <w:color w:val="5862ED"/>
          <w:sz w:val="20"/>
          <w:szCs w:val="20"/>
          <w:u w:val="single"/>
        </w:rPr>
        <w:t>Maintenance PREVENTIVE uniquement (si elle est retenue)</w:t>
      </w:r>
    </w:p>
    <w:p w14:paraId="2D240A0B" w14:textId="77777777" w:rsidR="006C4272" w:rsidRPr="006C4272" w:rsidRDefault="006C4272" w:rsidP="006C4272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5C6D7261" w14:textId="5C58F405" w:rsidR="00410677" w:rsidRPr="002B7CCB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36B38">
        <w:rPr>
          <w:rFonts w:ascii="Marianne" w:hAnsi="Marianne" w:cs="Arial"/>
          <w:sz w:val="20"/>
          <w:szCs w:val="20"/>
        </w:rPr>
        <w:t>Conformément à l’article 9</w:t>
      </w:r>
      <w:r w:rsidR="00C36B38" w:rsidRPr="00C36B38">
        <w:rPr>
          <w:rFonts w:ascii="Marianne" w:hAnsi="Marianne" w:cs="Arial"/>
          <w:sz w:val="20"/>
          <w:szCs w:val="20"/>
        </w:rPr>
        <w:t>.3</w:t>
      </w:r>
      <w:r w:rsidRPr="00C36B38">
        <w:rPr>
          <w:rFonts w:ascii="Marianne" w:hAnsi="Marianne" w:cs="Arial"/>
          <w:sz w:val="20"/>
          <w:szCs w:val="20"/>
        </w:rPr>
        <w:t xml:space="preserve"> du CCP « le contrat</w:t>
      </w:r>
      <w:r w:rsidRPr="002B7CCB">
        <w:rPr>
          <w:rFonts w:ascii="Marianne" w:hAnsi="Marianne" w:cs="Arial"/>
          <w:sz w:val="20"/>
          <w:szCs w:val="20"/>
        </w:rPr>
        <w:t xml:space="preserve"> de maintenance contient à minima 1 visite annuelle ».</w:t>
      </w:r>
    </w:p>
    <w:p w14:paraId="6DC9CAD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770DD1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F59ECD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7E076FC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9416AE7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DAEF317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BB084A8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DDE0FED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B15CA57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E00643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30126316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C6FFE2F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F773DF1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1C9043D5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58710D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63ED61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53A8B6AE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0A750822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C5A870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7DBB159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22F62F3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1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1"/>
    <w:p w14:paraId="5EF3BFEB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6055DA5" w14:textId="19B81194" w:rsidR="006E7D45" w:rsidRDefault="006E7D45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0C1E99" w14:textId="77777777" w:rsidR="006E7D45" w:rsidRPr="00647364" w:rsidRDefault="006E7D45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Maintenance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PREVENTIVE ET CURATIVE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p w14:paraId="21FEA5C8" w14:textId="77777777" w:rsidR="006E7D45" w:rsidRPr="002B7CCB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12AA719" w14:textId="77777777" w:rsidR="006E7D45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C5941D3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A505F">
        <w:rPr>
          <w:rFonts w:ascii="Marianne" w:hAnsi="Marianne" w:cs="Arial"/>
          <w:b/>
          <w:sz w:val="20"/>
          <w:szCs w:val="20"/>
          <w:u w:val="single"/>
        </w:rPr>
        <w:t>Contenu de la maintenance préventive et curative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73F0A07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3870883C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</w:p>
    <w:p w14:paraId="50272988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971280B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519D51C" w14:textId="77777777" w:rsidR="006E7D45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B1165F7" w14:textId="77777777" w:rsidR="006E7D45" w:rsidRPr="00C2609C" w:rsidRDefault="006E7D45" w:rsidP="006E7D45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581A9EB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A607982" w14:textId="77777777" w:rsidR="006E7D45" w:rsidRPr="001B1342" w:rsidRDefault="006E7D45" w:rsidP="006E7D45">
      <w:pPr>
        <w:pStyle w:val="Sansinterligne"/>
        <w:rPr>
          <w:rFonts w:ascii="Marianne" w:hAnsi="Marianne" w:cs="Arial"/>
          <w:sz w:val="20"/>
          <w:szCs w:val="20"/>
        </w:rPr>
      </w:pPr>
    </w:p>
    <w:p w14:paraId="0222419A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773B6E75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E098394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09A61A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2335E50D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5A0E0A3" w14:textId="77777777" w:rsidR="006E7D45" w:rsidRPr="001B1342" w:rsidRDefault="006E7D45" w:rsidP="006E7D45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7D6C0E7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4B34924" w14:textId="77777777" w:rsidR="006E7D45" w:rsidRPr="00AD6301" w:rsidRDefault="006E7D45" w:rsidP="006E7D45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D09C125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A4384D4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B4B916E" w14:textId="77777777" w:rsidR="006E7D45" w:rsidRPr="001B1342" w:rsidRDefault="006E7D45" w:rsidP="006E7D45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D170FB0" w14:textId="77777777" w:rsidR="006E7D45" w:rsidRPr="00AD6301" w:rsidRDefault="006E7D45" w:rsidP="006E7D45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08C1ADFB" w14:textId="77777777" w:rsidR="006E7D45" w:rsidRPr="001B1342" w:rsidRDefault="006E7D45" w:rsidP="006E7D45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93C1DE6" w14:textId="77777777" w:rsidR="006E7D45" w:rsidRDefault="006E7D45" w:rsidP="006E7D45">
      <w:pPr>
        <w:pStyle w:val="Sansinterligne"/>
        <w:rPr>
          <w:rFonts w:ascii="Marianne" w:hAnsi="Marianne"/>
          <w:sz w:val="20"/>
          <w:szCs w:val="20"/>
        </w:rPr>
      </w:pPr>
    </w:p>
    <w:p w14:paraId="6253BE5E" w14:textId="77777777" w:rsidR="006E7D45" w:rsidRDefault="006E7D45" w:rsidP="006E7D45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4587118A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6E67D13" w14:textId="77777777" w:rsidR="007F03E2" w:rsidRPr="00647364" w:rsidRDefault="007F03E2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13591EBE" w14:textId="77777777" w:rsidR="00054BC7" w:rsidRPr="001B1342" w:rsidRDefault="004D2649" w:rsidP="00054BC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OUI </w:t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CFD148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0926A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1E1DBE6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1F0D9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058A0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DA4138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03052422" w14:textId="77777777" w:rsidR="004D2649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7C6EAC" w14:textId="77777777" w:rsidR="00B74555" w:rsidRPr="001B1342" w:rsidRDefault="00B74555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A9C429E" w14:textId="3426A997" w:rsidR="004D2649" w:rsidRPr="001B1342" w:rsidRDefault="004D2649" w:rsidP="006E7D45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77B45ADF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D0F150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6A746E7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7A57C1B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AF735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E936D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1B1342">
        <w:rPr>
          <w:rFonts w:ascii="Marianne" w:hAnsi="Marianne" w:cs="Arial"/>
          <w:sz w:val="20"/>
          <w:szCs w:val="20"/>
        </w:rPr>
        <w:tab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OUI </w:t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1334E">
        <w:rPr>
          <w:rFonts w:ascii="Marianne" w:hAnsi="Marianne" w:cs="Arial"/>
          <w:b/>
          <w:sz w:val="18"/>
          <w:szCs w:val="18"/>
        </w:rPr>
      </w:r>
      <w:r w:rsidR="0091334E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9EA76B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2D9B17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2E9448D8" w14:textId="77777777" w:rsidR="00A93F2E" w:rsidRPr="001B1342" w:rsidRDefault="00A93F2E" w:rsidP="00A93F2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09BB3F6B" w14:textId="77777777" w:rsidR="00A93F2E" w:rsidRPr="00AD6301" w:rsidRDefault="00A93F2E" w:rsidP="00A93F2E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7CA124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B3EE7E7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7534C47" w14:textId="77777777" w:rsidR="00A93F2E" w:rsidRPr="001B1342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1A224F3" w14:textId="77777777" w:rsidR="00A93F2E" w:rsidRPr="00A5432B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3F2E" w:rsidRPr="00291C9D" w14:paraId="1CE79A62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347039F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506DBC8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A93F2E" w14:paraId="3BE28077" w14:textId="77777777" w:rsidTr="002E25CB">
        <w:tc>
          <w:tcPr>
            <w:tcW w:w="4531" w:type="dxa"/>
          </w:tcPr>
          <w:p w14:paraId="7C1A72AC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1DAE1ED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38E4F4D8" w14:textId="77777777" w:rsidTr="002E25CB">
        <w:tc>
          <w:tcPr>
            <w:tcW w:w="4531" w:type="dxa"/>
          </w:tcPr>
          <w:p w14:paraId="7B6724F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3F0188AC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80EC880" w14:textId="77777777" w:rsidTr="002E25CB">
        <w:tc>
          <w:tcPr>
            <w:tcW w:w="4531" w:type="dxa"/>
          </w:tcPr>
          <w:p w14:paraId="4291CB7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E36D17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7002058" w14:textId="77777777" w:rsidTr="002E25CB">
        <w:tc>
          <w:tcPr>
            <w:tcW w:w="4531" w:type="dxa"/>
          </w:tcPr>
          <w:p w14:paraId="7A2EC384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6F0FAA2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11590C0C" w14:textId="77777777" w:rsidTr="002E25CB">
        <w:tc>
          <w:tcPr>
            <w:tcW w:w="4531" w:type="dxa"/>
          </w:tcPr>
          <w:p w14:paraId="6AE59906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052C58D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237E4302" w14:textId="77777777" w:rsidTr="002E25CB">
        <w:tc>
          <w:tcPr>
            <w:tcW w:w="4531" w:type="dxa"/>
          </w:tcPr>
          <w:p w14:paraId="202FD6F8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66569AD1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3DDD599A" w14:textId="77777777" w:rsidR="00A93F2E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5DD674A0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74501EF" w14:textId="375E575D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7D67DF33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14EA9C45" w14:textId="77777777" w:rsidR="00291C9D" w:rsidRDefault="00291C9D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0779B68C" w14:textId="77777777" w:rsidR="00C636FE" w:rsidRDefault="00C636FE" w:rsidP="00C636FE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C42B" w14:textId="77777777" w:rsidR="00C636FE" w:rsidRPr="00607C72" w:rsidRDefault="00C636FE" w:rsidP="006E7D45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8DE7F0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0ABB645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31332178" w14:textId="77777777" w:rsidR="00A93F2E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5204432D" w14:textId="23B6A70B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89207B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53DCBD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EC10BD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EED9D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C27FE8C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55D1AD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FDBD67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FBE7E3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9FC398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2C36CE93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D9FA68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0C4940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106FF4F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214629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3174A88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3F93156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08A9691D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323CB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04F7D97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7491C62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C684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4E9C4B6" w14:textId="2D7219BA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r w:rsidR="0091334E" w:rsidRPr="00607C72">
        <w:rPr>
          <w:rFonts w:ascii="Marianne" w:hAnsi="Marianne" w:cs="Arial"/>
          <w:i/>
          <w:sz w:val="20"/>
          <w:szCs w:val="20"/>
        </w:rPr>
        <w:t>en termes de</w:t>
      </w:r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072C4E31" w14:textId="77777777" w:rsidR="00C636FE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733B7FA7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C9D27C6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40BA561" w14:textId="77777777" w:rsidR="004B6CF5" w:rsidRPr="001B1342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DD45AE6" w14:textId="77777777" w:rsidR="004B6CF5" w:rsidRPr="00C06BBA" w:rsidRDefault="004B6CF5" w:rsidP="004B6CF5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6AFE92C" w14:textId="77777777" w:rsidR="004B6CF5" w:rsidRPr="00C06BBA" w:rsidRDefault="004B6CF5" w:rsidP="004B6CF5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4B6CF5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CC4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177E349C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734F" w14:textId="297BA362" w:rsidR="00AA0B56" w:rsidRPr="001B1342" w:rsidRDefault="00E20C95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TECSANTE256</w:t>
    </w:r>
    <w:r w:rsidR="00D16643" w:rsidRPr="001B1342">
      <w:rPr>
        <w:rFonts w:ascii="Marianne" w:hAnsi="Marianne"/>
        <w:sz w:val="18"/>
        <w:szCs w:val="18"/>
      </w:rPr>
      <w:t xml:space="preserve"> – Annexe </w:t>
    </w:r>
    <w:r w:rsidR="00450E89">
      <w:rPr>
        <w:rFonts w:ascii="Marianne" w:hAnsi="Marianne"/>
        <w:sz w:val="18"/>
        <w:szCs w:val="18"/>
      </w:rPr>
      <w:t xml:space="preserve">1 </w:t>
    </w:r>
    <w:r w:rsidR="00D16643" w:rsidRPr="001B1342">
      <w:rPr>
        <w:rFonts w:ascii="Marianne" w:hAnsi="Marianne"/>
        <w:sz w:val="18"/>
        <w:szCs w:val="18"/>
      </w:rPr>
      <w:t>à l’ATTRI 1</w:t>
    </w:r>
    <w:r w:rsidR="00B27D51" w:rsidRPr="001B1342">
      <w:rPr>
        <w:rFonts w:ascii="Marianne" w:hAnsi="Marianne"/>
        <w:sz w:val="18"/>
        <w:szCs w:val="18"/>
      </w:rPr>
      <w:t xml:space="preserve"> – OFFRE DE BASE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C636FE">
          <w:rPr>
            <w:rFonts w:ascii="Marianne" w:hAnsi="Marianne"/>
            <w:noProof/>
            <w:sz w:val="18"/>
            <w:szCs w:val="18"/>
          </w:rPr>
          <w:t>3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B74555"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F8A1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202D8D9B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E9C3" w14:textId="79B5C0D6" w:rsidR="006032AF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5F0D16FB" wp14:editId="1437850F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450E89">
      <w:rPr>
        <w:rFonts w:ascii="Marianne" w:hAnsi="Marianne"/>
        <w:b/>
      </w:rPr>
      <w:t xml:space="preserve">1 </w:t>
    </w:r>
    <w:r w:rsidR="00601A7B" w:rsidRPr="001B1342">
      <w:rPr>
        <w:rFonts w:ascii="Marianne" w:hAnsi="Marianne"/>
        <w:b/>
      </w:rPr>
      <w:t>A L’ATTRI 1</w:t>
    </w:r>
  </w:p>
  <w:p w14:paraId="3BAF2657" w14:textId="24117165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b/>
      </w:rPr>
      <w:t>OFFRE DE 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1F76"/>
    <w:multiLevelType w:val="hybridMultilevel"/>
    <w:tmpl w:val="7270991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6A0B"/>
    <w:multiLevelType w:val="hybridMultilevel"/>
    <w:tmpl w:val="528AFC8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0046C"/>
    <w:multiLevelType w:val="hybridMultilevel"/>
    <w:tmpl w:val="5CE40C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37ADE"/>
    <w:multiLevelType w:val="hybridMultilevel"/>
    <w:tmpl w:val="9AB459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01887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73999">
    <w:abstractNumId w:val="17"/>
  </w:num>
  <w:num w:numId="2" w16cid:durableId="712847116">
    <w:abstractNumId w:val="10"/>
  </w:num>
  <w:num w:numId="3" w16cid:durableId="877231975">
    <w:abstractNumId w:val="12"/>
  </w:num>
  <w:num w:numId="4" w16cid:durableId="642585839">
    <w:abstractNumId w:val="2"/>
  </w:num>
  <w:num w:numId="5" w16cid:durableId="1416169148">
    <w:abstractNumId w:val="0"/>
  </w:num>
  <w:num w:numId="6" w16cid:durableId="1422145373">
    <w:abstractNumId w:val="1"/>
  </w:num>
  <w:num w:numId="7" w16cid:durableId="826022422">
    <w:abstractNumId w:val="4"/>
  </w:num>
  <w:num w:numId="8" w16cid:durableId="1061946242">
    <w:abstractNumId w:val="6"/>
  </w:num>
  <w:num w:numId="9" w16cid:durableId="710155775">
    <w:abstractNumId w:val="5"/>
  </w:num>
  <w:num w:numId="10" w16cid:durableId="864363352">
    <w:abstractNumId w:val="9"/>
  </w:num>
  <w:num w:numId="11" w16cid:durableId="158693290">
    <w:abstractNumId w:val="15"/>
  </w:num>
  <w:num w:numId="12" w16cid:durableId="1284002388">
    <w:abstractNumId w:val="13"/>
  </w:num>
  <w:num w:numId="13" w16cid:durableId="1583447656">
    <w:abstractNumId w:val="3"/>
  </w:num>
  <w:num w:numId="14" w16cid:durableId="285433613">
    <w:abstractNumId w:val="7"/>
  </w:num>
  <w:num w:numId="15" w16cid:durableId="1094280805">
    <w:abstractNumId w:val="14"/>
  </w:num>
  <w:num w:numId="16" w16cid:durableId="653878970">
    <w:abstractNumId w:val="18"/>
  </w:num>
  <w:num w:numId="17" w16cid:durableId="1352416304">
    <w:abstractNumId w:val="11"/>
  </w:num>
  <w:num w:numId="18" w16cid:durableId="1752501252">
    <w:abstractNumId w:val="16"/>
  </w:num>
  <w:num w:numId="19" w16cid:durableId="4165646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00DB"/>
    <w:rsid w:val="00020D7E"/>
    <w:rsid w:val="00031B5B"/>
    <w:rsid w:val="000367CA"/>
    <w:rsid w:val="000410A3"/>
    <w:rsid w:val="00044690"/>
    <w:rsid w:val="00045800"/>
    <w:rsid w:val="00047C8D"/>
    <w:rsid w:val="0005007D"/>
    <w:rsid w:val="00054BC7"/>
    <w:rsid w:val="000722FC"/>
    <w:rsid w:val="00072C0C"/>
    <w:rsid w:val="00086228"/>
    <w:rsid w:val="0009291A"/>
    <w:rsid w:val="000A1AA9"/>
    <w:rsid w:val="000B1053"/>
    <w:rsid w:val="000B1D42"/>
    <w:rsid w:val="000B6BA0"/>
    <w:rsid w:val="000E409D"/>
    <w:rsid w:val="000F251F"/>
    <w:rsid w:val="00101C9B"/>
    <w:rsid w:val="00110728"/>
    <w:rsid w:val="0012009C"/>
    <w:rsid w:val="00122842"/>
    <w:rsid w:val="00130A49"/>
    <w:rsid w:val="00143C9F"/>
    <w:rsid w:val="001502CB"/>
    <w:rsid w:val="001561D7"/>
    <w:rsid w:val="00156FA5"/>
    <w:rsid w:val="00163A19"/>
    <w:rsid w:val="00166A5E"/>
    <w:rsid w:val="00172892"/>
    <w:rsid w:val="001776FF"/>
    <w:rsid w:val="0018743F"/>
    <w:rsid w:val="00192C73"/>
    <w:rsid w:val="001A00B1"/>
    <w:rsid w:val="001A4E38"/>
    <w:rsid w:val="001B1342"/>
    <w:rsid w:val="001D4B02"/>
    <w:rsid w:val="001F621F"/>
    <w:rsid w:val="001F7AE7"/>
    <w:rsid w:val="00267306"/>
    <w:rsid w:val="00286B14"/>
    <w:rsid w:val="00286EC1"/>
    <w:rsid w:val="00287988"/>
    <w:rsid w:val="00291C9D"/>
    <w:rsid w:val="002B17C8"/>
    <w:rsid w:val="002D5C53"/>
    <w:rsid w:val="002E27F9"/>
    <w:rsid w:val="00327F80"/>
    <w:rsid w:val="003533F9"/>
    <w:rsid w:val="00363B20"/>
    <w:rsid w:val="00366259"/>
    <w:rsid w:val="00377820"/>
    <w:rsid w:val="00384989"/>
    <w:rsid w:val="0038622E"/>
    <w:rsid w:val="0039433D"/>
    <w:rsid w:val="003A473A"/>
    <w:rsid w:val="003B0913"/>
    <w:rsid w:val="003B34F9"/>
    <w:rsid w:val="003C05D4"/>
    <w:rsid w:val="003C52E2"/>
    <w:rsid w:val="003C60FD"/>
    <w:rsid w:val="003E310C"/>
    <w:rsid w:val="003F0B0B"/>
    <w:rsid w:val="004064A7"/>
    <w:rsid w:val="00410677"/>
    <w:rsid w:val="00425323"/>
    <w:rsid w:val="00450E89"/>
    <w:rsid w:val="004744DC"/>
    <w:rsid w:val="00480A35"/>
    <w:rsid w:val="004B6CF5"/>
    <w:rsid w:val="004C29DA"/>
    <w:rsid w:val="004D2649"/>
    <w:rsid w:val="00513BE2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032AF"/>
    <w:rsid w:val="00624586"/>
    <w:rsid w:val="00640EFF"/>
    <w:rsid w:val="00642EC8"/>
    <w:rsid w:val="00647364"/>
    <w:rsid w:val="0065541E"/>
    <w:rsid w:val="0066051D"/>
    <w:rsid w:val="00665DAE"/>
    <w:rsid w:val="00676648"/>
    <w:rsid w:val="00681AF4"/>
    <w:rsid w:val="006831FC"/>
    <w:rsid w:val="006943DD"/>
    <w:rsid w:val="00695A74"/>
    <w:rsid w:val="006A11A0"/>
    <w:rsid w:val="006B6172"/>
    <w:rsid w:val="006C4272"/>
    <w:rsid w:val="006C62A2"/>
    <w:rsid w:val="006D48E2"/>
    <w:rsid w:val="006E0C8A"/>
    <w:rsid w:val="006E3F75"/>
    <w:rsid w:val="006E5F6E"/>
    <w:rsid w:val="006E7D45"/>
    <w:rsid w:val="006F5DFF"/>
    <w:rsid w:val="006F603D"/>
    <w:rsid w:val="00706490"/>
    <w:rsid w:val="00742222"/>
    <w:rsid w:val="00761119"/>
    <w:rsid w:val="007809A2"/>
    <w:rsid w:val="00784464"/>
    <w:rsid w:val="007C25A3"/>
    <w:rsid w:val="007C36A2"/>
    <w:rsid w:val="007D41F2"/>
    <w:rsid w:val="007F03E2"/>
    <w:rsid w:val="00810B68"/>
    <w:rsid w:val="00883D72"/>
    <w:rsid w:val="008B491C"/>
    <w:rsid w:val="008E5191"/>
    <w:rsid w:val="008E57A1"/>
    <w:rsid w:val="008F619C"/>
    <w:rsid w:val="009030CF"/>
    <w:rsid w:val="0091334E"/>
    <w:rsid w:val="0091429F"/>
    <w:rsid w:val="00934533"/>
    <w:rsid w:val="009479D8"/>
    <w:rsid w:val="009906E7"/>
    <w:rsid w:val="009B0625"/>
    <w:rsid w:val="009D08FC"/>
    <w:rsid w:val="009E04A9"/>
    <w:rsid w:val="009E7EB5"/>
    <w:rsid w:val="009F1C64"/>
    <w:rsid w:val="00A10F10"/>
    <w:rsid w:val="00A375BC"/>
    <w:rsid w:val="00A5432B"/>
    <w:rsid w:val="00A5653B"/>
    <w:rsid w:val="00A60BD6"/>
    <w:rsid w:val="00A93F2E"/>
    <w:rsid w:val="00A97C76"/>
    <w:rsid w:val="00AA0B56"/>
    <w:rsid w:val="00AA3C36"/>
    <w:rsid w:val="00AF1DD7"/>
    <w:rsid w:val="00AF1E8E"/>
    <w:rsid w:val="00B27D51"/>
    <w:rsid w:val="00B468C7"/>
    <w:rsid w:val="00B579AC"/>
    <w:rsid w:val="00B6119C"/>
    <w:rsid w:val="00B66FBA"/>
    <w:rsid w:val="00B74555"/>
    <w:rsid w:val="00B82F98"/>
    <w:rsid w:val="00B942F9"/>
    <w:rsid w:val="00B966AD"/>
    <w:rsid w:val="00BA1281"/>
    <w:rsid w:val="00BA46A5"/>
    <w:rsid w:val="00BB4D1D"/>
    <w:rsid w:val="00BE2802"/>
    <w:rsid w:val="00BE2DA5"/>
    <w:rsid w:val="00BF0D0B"/>
    <w:rsid w:val="00BF6ECA"/>
    <w:rsid w:val="00C12CD9"/>
    <w:rsid w:val="00C12D99"/>
    <w:rsid w:val="00C36B38"/>
    <w:rsid w:val="00C475ED"/>
    <w:rsid w:val="00C636FE"/>
    <w:rsid w:val="00C74D1D"/>
    <w:rsid w:val="00C77AEE"/>
    <w:rsid w:val="00C965C4"/>
    <w:rsid w:val="00C96F6C"/>
    <w:rsid w:val="00CA0E08"/>
    <w:rsid w:val="00CB3C0E"/>
    <w:rsid w:val="00CB7BEF"/>
    <w:rsid w:val="00CC5385"/>
    <w:rsid w:val="00CD5BF4"/>
    <w:rsid w:val="00CF4DC1"/>
    <w:rsid w:val="00D050B8"/>
    <w:rsid w:val="00D07608"/>
    <w:rsid w:val="00D1297F"/>
    <w:rsid w:val="00D16643"/>
    <w:rsid w:val="00D2479F"/>
    <w:rsid w:val="00D255D9"/>
    <w:rsid w:val="00D514D8"/>
    <w:rsid w:val="00D52AED"/>
    <w:rsid w:val="00D858BD"/>
    <w:rsid w:val="00DA4138"/>
    <w:rsid w:val="00DB2FBF"/>
    <w:rsid w:val="00DC421E"/>
    <w:rsid w:val="00DD05F9"/>
    <w:rsid w:val="00DD2DBD"/>
    <w:rsid w:val="00DD544E"/>
    <w:rsid w:val="00DD5518"/>
    <w:rsid w:val="00E068F3"/>
    <w:rsid w:val="00E07A78"/>
    <w:rsid w:val="00E20008"/>
    <w:rsid w:val="00E20352"/>
    <w:rsid w:val="00E20C95"/>
    <w:rsid w:val="00E22FDC"/>
    <w:rsid w:val="00E47069"/>
    <w:rsid w:val="00E55AE2"/>
    <w:rsid w:val="00E82EFD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870B0"/>
    <w:rsid w:val="00F96151"/>
    <w:rsid w:val="00FA5296"/>
    <w:rsid w:val="00FB613E"/>
    <w:rsid w:val="00FC6364"/>
    <w:rsid w:val="00FE08BF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431B6130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14A063B-1023-4E73-9197-4FBCAA72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2116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cp:lastPrinted>2019-05-21T09:44:00Z</cp:lastPrinted>
  <dcterms:created xsi:type="dcterms:W3CDTF">2022-01-18T14:40:00Z</dcterms:created>
  <dcterms:modified xsi:type="dcterms:W3CDTF">2025-07-24T06:54:00Z</dcterms:modified>
</cp:coreProperties>
</file>